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1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/>
    </w:p>
    <w:p>
      <w:pPr>
        <w:jc w:val="center"/>
        <w:spacing w:after="0" w:line="240" w:lineRule="auto"/>
        <w:shd w:val="clear" w:color="auto" w:fill="ffffff"/>
        <w:tabs>
          <w:tab w:val="left" w:pos="4730" w:leader="none"/>
        </w:tabs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Объявление о проведении отбора</w:t>
      </w:r>
      <w:r>
        <w:rPr>
          <w:rFonts w:ascii="Liberation Serif" w:hAnsi="Liberation Serif" w:cs="Liberation Serif"/>
        </w:rPr>
      </w:r>
      <w:r/>
    </w:p>
    <w:p>
      <w:pPr>
        <w:jc w:val="center"/>
        <w:spacing w:after="0" w:line="240" w:lineRule="auto"/>
        <w:shd w:val="clear" w:color="auto" w:fill="ffffff"/>
        <w:tabs>
          <w:tab w:val="left" w:pos="4730" w:leader="none"/>
        </w:tabs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>
        <w:rPr>
          <w:rFonts w:ascii="Liberation Serif" w:hAnsi="Liberation Serif" w:cs="Liberation Serif"/>
          <w:b/>
          <w:sz w:val="28"/>
          <w:szCs w:val="28"/>
        </w:rPr>
        <w:t xml:space="preserve">предоставление субсидий из бюджета Тазовского района </w:t>
      </w:r>
      <w:r>
        <w:rPr>
          <w:rFonts w:ascii="Liberation Serif" w:hAnsi="Liberation Serif" w:cs="Liberation Serif"/>
          <w:b/>
          <w:sz w:val="28"/>
          <w:szCs w:val="28"/>
        </w:rPr>
        <w:t xml:space="preserve">ресурсоснабжающей организации</w:t>
      </w:r>
      <w:r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 xml:space="preserve">на финансовое </w:t>
      </w:r>
      <w:r>
        <w:rPr>
          <w:rFonts w:ascii="Liberation Serif" w:hAnsi="Liberation Serif" w:cs="Liberation Serif"/>
          <w:b/>
          <w:sz w:val="28"/>
          <w:szCs w:val="28"/>
        </w:rPr>
        <w:t xml:space="preserve">обеспечение</w:t>
      </w:r>
      <w:r>
        <w:rPr>
          <w:rFonts w:ascii="Liberation Serif" w:hAnsi="Liberation Serif" w:cs="Liberation Serif"/>
          <w:b/>
          <w:sz w:val="28"/>
          <w:szCs w:val="28"/>
        </w:rPr>
        <w:t xml:space="preserve"> затрат</w:t>
      </w:r>
      <w:r>
        <w:rPr>
          <w:rFonts w:ascii="Liberation Serif" w:hAnsi="Liberation Serif" w:cs="Liberation Serif"/>
        </w:rPr>
      </w:r>
      <w:r/>
    </w:p>
    <w:p>
      <w:pPr>
        <w:jc w:val="center"/>
        <w:spacing w:after="0" w:line="240" w:lineRule="auto"/>
        <w:shd w:val="clear" w:color="auto" w:fill="ffffff"/>
        <w:tabs>
          <w:tab w:val="left" w:pos="4730" w:leader="none"/>
        </w:tabs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на проведение </w:t>
      </w:r>
      <w:r>
        <w:rPr>
          <w:rFonts w:ascii="Liberation Serif" w:hAnsi="Liberation Serif" w:cs="Liberation Serif"/>
          <w:b/>
          <w:sz w:val="28"/>
          <w:szCs w:val="28"/>
        </w:rPr>
        <w:t xml:space="preserve">мероприятий по организации водоснабжения населения 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«Модернизация системы водоочистки комплекса водоочистки ВОС - 500 п. Тазовский, ул. Почтовая»</w:t>
      </w:r>
      <w:r/>
    </w:p>
    <w:p>
      <w:pPr>
        <w:pStyle w:val="823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</w:rPr>
      </w:r>
      <w:r/>
    </w:p>
    <w:p>
      <w:pPr>
        <w:pStyle w:val="823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</w:rPr>
      </w:r>
      <w:r/>
    </w:p>
    <w:p>
      <w:pPr>
        <w:pStyle w:val="823"/>
        <w:jc w:val="center"/>
        <w:rPr>
          <w:rFonts w:ascii="Liberation Serif" w:hAnsi="Liberation Serif" w:cs="Liberation Serif"/>
          <w:sz w:val="28"/>
          <w:szCs w:val="28"/>
        </w:rPr>
        <w:outlineLvl w:val="1"/>
      </w:pPr>
      <w:r>
        <w:rPr>
          <w:rFonts w:ascii="Liberation Serif" w:hAnsi="Liberation Serif" w:cs="Liberation Serif"/>
          <w:sz w:val="28"/>
          <w:szCs w:val="28"/>
        </w:rPr>
        <w:t xml:space="preserve">I. Общие положения</w:t>
      </w:r>
      <w:r>
        <w:rPr>
          <w:rFonts w:ascii="Liberation Serif" w:hAnsi="Liberation Serif" w:cs="Liberation Serif"/>
        </w:rPr>
      </w:r>
      <w:r/>
    </w:p>
    <w:p>
      <w:pPr>
        <w:pStyle w:val="821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Управление коммуникаций, строительства и жилищной политики Администрации Тазовского района объявляет, чт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 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с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16 марта 2023 года по 23 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марта</w:t>
      </w:r>
      <w:bookmarkStart w:id="0" w:name="_GoBack"/>
      <w:r>
        <w:rPr>
          <w:rFonts w:ascii="Liberation Serif" w:hAnsi="Liberation Serif" w:cs="Liberation Serif"/>
          <w:color w:val="000000" w:themeColor="text1"/>
          <w:highlight w:val="white"/>
        </w:rPr>
      </w:r>
      <w:bookmarkEnd w:id="0"/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2023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года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будет проводится отбор 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на предо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ставление субсидий из бюджета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Таз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овского района ресурсоснабжающей организации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целях финансового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обеспечения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затрат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из бюджета мун</w:t>
      </w:r>
      <w:r>
        <w:rPr>
          <w:rFonts w:ascii="Liberation Serif" w:hAnsi="Liberation Serif" w:cs="Liberation Serif"/>
          <w:sz w:val="28"/>
          <w:szCs w:val="28"/>
        </w:rPr>
        <w:t xml:space="preserve">иципального округа Тазовский район</w:t>
      </w:r>
      <w:r>
        <w:rPr>
          <w:rFonts w:ascii="Liberation Serif" w:hAnsi="Liberation Serif" w:cs="Liberation Serif"/>
          <w:sz w:val="28"/>
          <w:szCs w:val="28"/>
        </w:rPr>
        <w:t xml:space="preserve">, связанны</w:t>
      </w:r>
      <w:r>
        <w:rPr>
          <w:rFonts w:ascii="Liberation Serif" w:hAnsi="Liberation Serif" w:cs="Liberation Serif"/>
          <w:sz w:val="28"/>
          <w:szCs w:val="28"/>
        </w:rPr>
        <w:t xml:space="preserve">х с осуществлением </w:t>
      </w:r>
      <w:r>
        <w:rPr>
          <w:rFonts w:ascii="Liberation Serif" w:hAnsi="Liberation Serif" w:cs="Liberation Serif"/>
          <w:sz w:val="28"/>
          <w:szCs w:val="28"/>
        </w:rPr>
        <w:t xml:space="preserve">деятельности по ремонту (модернизации) и реконструкции водоочистных сооружений и водозаборов задействованных при производстве и передаче воды </w:t>
      </w:r>
      <w:r>
        <w:rPr>
          <w:rFonts w:ascii="Liberation Serif" w:hAnsi="Liberation Serif" w:cs="Liberation Serif"/>
          <w:sz w:val="28"/>
          <w:szCs w:val="28"/>
        </w:rPr>
        <w:t xml:space="preserve">(далее –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отбор) сп</w:t>
      </w:r>
      <w:r>
        <w:rPr>
          <w:rFonts w:ascii="Liberation Serif" w:hAnsi="Liberation Serif" w:cs="Liberation Serif"/>
          <w:sz w:val="28"/>
          <w:szCs w:val="28"/>
        </w:rPr>
        <w:t xml:space="preserve">особо</w:t>
      </w:r>
      <w:r>
        <w:rPr>
          <w:rFonts w:ascii="Liberation Serif" w:hAnsi="Liberation Serif" w:cs="Liberation Serif"/>
          <w:sz w:val="28"/>
          <w:szCs w:val="28"/>
        </w:rPr>
        <w:t xml:space="preserve">м запроса предложений (заявлений</w:t>
      </w:r>
      <w:r>
        <w:rPr>
          <w:rFonts w:ascii="Liberation Serif" w:hAnsi="Liberation Serif" w:cs="Liberation Serif"/>
          <w:sz w:val="28"/>
          <w:szCs w:val="28"/>
        </w:rPr>
        <w:t xml:space="preserve">) </w:t>
      </w:r>
      <w:r>
        <w:rPr>
          <w:rFonts w:ascii="Liberation Serif" w:hAnsi="Liberation Serif" w:cs="Liberation Serif"/>
          <w:sz w:val="28"/>
          <w:szCs w:val="28"/>
        </w:rPr>
        <w:t xml:space="preserve">ресурсоснабжающих</w:t>
      </w:r>
      <w:r>
        <w:rPr>
          <w:rFonts w:ascii="Liberation Serif" w:hAnsi="Liberation Serif" w:cs="Liberation Serif"/>
          <w:sz w:val="28"/>
          <w:szCs w:val="28"/>
        </w:rPr>
        <w:t xml:space="preserve"> организац</w:t>
      </w:r>
      <w:r>
        <w:rPr>
          <w:rFonts w:ascii="Liberation Serif" w:hAnsi="Liberation Serif" w:cs="Liberation Serif"/>
          <w:sz w:val="28"/>
          <w:szCs w:val="28"/>
        </w:rPr>
        <w:t xml:space="preserve">ий</w:t>
      </w:r>
      <w:r>
        <w:rPr>
          <w:rFonts w:ascii="Liberation Serif" w:hAnsi="Liberation Serif" w:cs="Liberation Serif"/>
          <w:sz w:val="28"/>
          <w:szCs w:val="28"/>
        </w:rPr>
        <w:t xml:space="preserve">, осуществляющих </w:t>
      </w:r>
      <w:r>
        <w:rPr>
          <w:rFonts w:ascii="Liberation Serif" w:hAnsi="Liberation Serif" w:cs="Liberation Serif"/>
          <w:sz w:val="28"/>
          <w:szCs w:val="28"/>
        </w:rPr>
        <w:t xml:space="preserve">эксплуатацию водоочистных сооружений и водозаборов в населенн</w:t>
      </w:r>
      <w:r>
        <w:rPr>
          <w:rFonts w:ascii="Liberation Serif" w:hAnsi="Liberation Serif" w:cs="Liberation Serif"/>
          <w:sz w:val="28"/>
          <w:szCs w:val="28"/>
        </w:rPr>
        <w:t xml:space="preserve">ых пунктах муниципального округа Тазовский район Ямало-Ненецкого автономного округа, а также имеющие утвержденные в соответствии с законодательством Российской Федерации тарифы в сфере теплоснабжения, водоснабжения и водоотведения на текущий финансовый год</w:t>
      </w:r>
      <w:r>
        <w:rPr>
          <w:rFonts w:ascii="Liberation Serif" w:hAnsi="Liberation Serif" w:cs="Liberation Serif"/>
          <w:sz w:val="28"/>
          <w:szCs w:val="28"/>
        </w:rPr>
        <w:t xml:space="preserve"> (далее – получателей субсидии</w:t>
      </w:r>
      <w:r>
        <w:rPr>
          <w:rFonts w:ascii="Liberation Serif" w:hAnsi="Liberation Serif" w:cs="Liberation Serif"/>
          <w:sz w:val="28"/>
          <w:szCs w:val="28"/>
        </w:rPr>
        <w:t xml:space="preserve">)</w:t>
      </w:r>
      <w:r>
        <w:rPr>
          <w:rFonts w:ascii="Liberation Serif" w:hAnsi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pStyle w:val="821"/>
        <w:numPr>
          <w:ilvl w:val="0"/>
          <w:numId w:val="2"/>
        </w:numPr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Отбор проводится в управлении коммуникаций, строительства и жилищной политики Администрации Тазовского района</w:t>
      </w:r>
      <w:r>
        <w:rPr>
          <w:rFonts w:ascii="Liberation Serif" w:hAnsi="Liberation Serif" w:cs="Liberation Serif"/>
          <w:sz w:val="28"/>
          <w:szCs w:val="28"/>
        </w:rPr>
        <w:t xml:space="preserve"> по адресу: 629350, Ямало-Ненецкий автономный округ, Тазовски</w:t>
      </w:r>
      <w:r>
        <w:rPr>
          <w:rFonts w:ascii="Liberation Serif" w:hAnsi="Liberation Serif" w:cs="Liberation Serif"/>
          <w:sz w:val="28"/>
          <w:szCs w:val="28"/>
        </w:rPr>
        <w:t xml:space="preserve">й район, поселок Тазовский, ул. </w:t>
      </w:r>
      <w:r>
        <w:rPr>
          <w:rFonts w:ascii="Liberation Serif" w:hAnsi="Liberation Serif" w:cs="Liberation Serif"/>
          <w:sz w:val="28"/>
          <w:szCs w:val="28"/>
        </w:rPr>
        <w:t xml:space="preserve">Геофизиков, 1Б.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40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hAnsi="Liberation Serif" w:cs="Liberation Serif"/>
          <w:sz w:val="28"/>
          <w:szCs w:val="28"/>
        </w:rPr>
        <w:t xml:space="preserve">Адрес электронной почт</w:t>
      </w: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ы: </w:t>
      </w:r>
      <w:hyperlink r:id="rId10" w:tooltip="mailto:communstroy@tazovsky.yanao.ru" w:history="1">
        <w:r>
          <w:rPr>
            <w:rStyle w:val="825"/>
            <w:rFonts w:ascii="Liberation Serif" w:hAnsi="Liberation Serif" w:cs="Liberation Serif"/>
            <w:color w:val="auto"/>
            <w:sz w:val="28"/>
            <w:szCs w:val="28"/>
            <w:highlight w:val="white"/>
            <w:lang w:val="en-US"/>
          </w:rPr>
          <w:t xml:space="preserve">ogts</w:t>
        </w:r>
        <w:r>
          <w:rPr>
            <w:rStyle w:val="825"/>
            <w:rFonts w:ascii="Liberation Serif" w:hAnsi="Liberation Serif" w:cs="Liberation Serif"/>
            <w:color w:val="auto"/>
            <w:sz w:val="28"/>
            <w:szCs w:val="28"/>
            <w:highlight w:val="white"/>
          </w:rPr>
          <w:t xml:space="preserve">1@mail.ru</w:t>
        </w:r>
      </w:hyperlink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pStyle w:val="821"/>
        <w:ind w:firstLine="540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Часы приема заявок – ежедневно с 09-00 до 17-30, перерыв с 12-30 до 14-00, понедельник с 08-30 до 18-00, вы</w:t>
      </w:r>
      <w:r>
        <w:rPr>
          <w:rFonts w:ascii="Liberation Serif" w:hAnsi="Liberation Serif" w:cs="Liberation Serif"/>
          <w:sz w:val="28"/>
          <w:szCs w:val="28"/>
        </w:rPr>
        <w:t xml:space="preserve">ходные дни – суббота, воскресень</w:t>
      </w:r>
      <w:r>
        <w:rPr>
          <w:rFonts w:ascii="Liberation Serif" w:hAnsi="Liberation Serif" w:cs="Liberation Serif"/>
          <w:sz w:val="28"/>
          <w:szCs w:val="28"/>
        </w:rPr>
        <w:t xml:space="preserve">е.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after="240" w:line="240" w:lineRule="auto"/>
        <w:shd w:val="clear" w:color="auto" w:fill="ffffff"/>
        <w:widowControl w:val="off"/>
        <w:tabs>
          <w:tab w:val="left" w:pos="0" w:leader="none"/>
          <w:tab w:val="left" w:pos="1418" w:leader="none"/>
        </w:tabs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2. Результатом п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редоставления субсидии является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 полное выполнение объемов работ по 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ремонту (модернизации) и реконструкции водоочистных сооружений и водозаборов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, предусмотренных а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дресным перечнем мероприятий на 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т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екущий финансовый год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 (приложение №2)</w:t>
      </w:r>
      <w:r>
        <w:rPr>
          <w:rFonts w:ascii="Liberation Serif" w:hAnsi="Liberation Serif" w:eastAsia="Calibri" w:cs="Liberation Serif"/>
          <w:color w:val="000000" w:themeColor="text1"/>
          <w:sz w:val="28"/>
          <w:szCs w:val="28"/>
          <w:lang w:eastAsia="zh-CN"/>
        </w:rPr>
        <w:t xml:space="preserve">,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прилагаемой к настоящему объявлению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21"/>
        <w:ind w:firstLine="540"/>
        <w:jc w:val="both"/>
        <w:spacing w:after="240"/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</w:pPr>
      <w:r>
        <w:rPr>
          <w:rFonts w:ascii="Liberation Serif" w:hAnsi="Liberation Serif" w:cs="Liberation Serif"/>
          <w:sz w:val="28"/>
          <w:szCs w:val="28"/>
        </w:rPr>
        <w:t xml:space="preserve">3.</w:t>
      </w: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 </w:t>
      </w: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Адрес официального сайта Администрации Тазовского района: </w:t>
      </w:r>
      <w:r>
        <w:rPr>
          <w:rFonts w:ascii="Liberation Serif" w:hAnsi="Liberation Serif" w:eastAsia="Arial" w:cs="Liberation Serif"/>
          <w:color w:val="000000"/>
          <w:sz w:val="28"/>
          <w:szCs w:val="28"/>
          <w:highlight w:val="white"/>
        </w:rPr>
      </w:r>
      <w:hyperlink r:id="rId11" w:tooltip="https://tasu.yanao.ru." w:history="1">
        <w:r>
          <w:rPr>
            <w:rStyle w:val="825"/>
            <w:rFonts w:ascii="Liberation Serif" w:hAnsi="Liberation Serif" w:eastAsia="Arial" w:cs="Liberation Serif"/>
            <w:color w:val="000000" w:themeColor="text1"/>
            <w:sz w:val="28"/>
            <w:szCs w:val="28"/>
            <w:highlight w:val="white"/>
          </w:rPr>
          <w:t xml:space="preserve">https://tasu.ya</w:t>
        </w:r>
        <w:r>
          <w:rPr>
            <w:rStyle w:val="825"/>
            <w:rFonts w:ascii="Liberation Serif" w:hAnsi="Liberation Serif" w:eastAsia="Arial" w:cs="Liberation Serif"/>
            <w:color w:val="000000" w:themeColor="text1"/>
            <w:sz w:val="28"/>
            <w:szCs w:val="28"/>
            <w:highlight w:val="white"/>
          </w:rPr>
          <w:t xml:space="preserve">nao.ru</w:t>
        </w:r>
        <w:r>
          <w:rPr>
            <w:rStyle w:val="825"/>
            <w:rFonts w:ascii="Liberation Serif" w:hAnsi="Liberation Serif" w:cs="Liberation Serif"/>
            <w:color w:val="000000" w:themeColor="text1"/>
            <w:sz w:val="28"/>
            <w:szCs w:val="28"/>
            <w:highlight w:val="white"/>
          </w:rPr>
          <w:t xml:space="preserve">.</w:t>
        </w:r>
      </w:hyperlink>
      <w:r>
        <w:rPr>
          <w:rFonts w:ascii="Liberation Serif" w:hAnsi="Liberation Serif" w:cs="Liberation Serif"/>
          <w:color w:val="000000" w:themeColor="text1"/>
          <w:sz w:val="28"/>
          <w:szCs w:val="28"/>
          <w:highlight w:val="none"/>
        </w:rPr>
        <w:t xml:space="preserve"> 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none"/>
        </w:rPr>
        <w:t xml:space="preserve">и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Liberation Serif" w:hAnsi="Liberation Serif"/>
          <w:color w:val="000000" w:themeColor="text1"/>
          <w:sz w:val="28"/>
          <w:szCs w:val="28"/>
          <w:highlight w:val="white"/>
        </w:rPr>
        <w:t xml:space="preserve">https://tasu.ru/ekonomika-i-finansy/kommunikatsii-stroitelstvo-i-zhilishchnaya-politika/upravlenie-kommunikatsiy-stroitelstva-i-zhilishchnoy-politiki/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21"/>
        <w:ind w:firstLine="540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Требования</w:t>
      </w:r>
      <w:r>
        <w:rPr>
          <w:rFonts w:ascii="Liberation Serif" w:hAnsi="Liberation Serif" w:cs="Liberation Serif"/>
          <w:sz w:val="28"/>
          <w:szCs w:val="28"/>
        </w:rPr>
        <w:t xml:space="preserve">, которым должны соответствовать участники</w:t>
      </w:r>
      <w:r>
        <w:rPr>
          <w:rFonts w:ascii="Liberation Serif" w:hAnsi="Liberation Serif" w:cs="Liberation Serif"/>
          <w:sz w:val="28"/>
          <w:szCs w:val="28"/>
        </w:rPr>
        <w:t xml:space="preserve"> отб</w:t>
      </w:r>
      <w:r>
        <w:rPr>
          <w:rFonts w:ascii="Liberation Serif" w:hAnsi="Liberation Serif" w:cs="Liberation Serif"/>
          <w:sz w:val="28"/>
          <w:szCs w:val="28"/>
        </w:rPr>
        <w:t xml:space="preserve">ора </w:t>
      </w:r>
      <w:r>
        <w:rPr>
          <w:rFonts w:ascii="Liberation Serif" w:hAnsi="Liberation Serif" w:cs="Liberation Serif"/>
          <w:sz w:val="28"/>
          <w:szCs w:val="28"/>
        </w:rPr>
        <w:t xml:space="preserve">на 1-е число месяца, предшествующего месяцу, в которо</w:t>
      </w:r>
      <w:r>
        <w:rPr>
          <w:rFonts w:ascii="Liberation Serif" w:hAnsi="Liberation Serif" w:cs="Liberation Serif"/>
          <w:sz w:val="28"/>
          <w:szCs w:val="28"/>
        </w:rPr>
        <w:t xml:space="preserve">м планируется проведение отбора</w:t>
      </w:r>
      <w:r>
        <w:rPr>
          <w:rFonts w:ascii="Liberation Serif" w:hAnsi="Liberation Serif" w:cs="Liberation Serif"/>
          <w:sz w:val="28"/>
          <w:szCs w:val="28"/>
        </w:rPr>
        <w:t xml:space="preserve">: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у участника отбора должна отсутствовать просроченная задолженность </w:t>
      </w:r>
      <w:r>
        <w:rPr>
          <w:rFonts w:ascii="Liberation Serif" w:hAnsi="Liberation Serif" w:cs="Liberation Serif"/>
          <w:sz w:val="28"/>
          <w:szCs w:val="28"/>
        </w:rPr>
        <w:t xml:space="preserve">по возврату в бюджет Тазовского района субсидий, предоставленных в том числе в соотве</w:t>
      </w:r>
      <w:r>
        <w:rPr>
          <w:rFonts w:ascii="Liberation Serif" w:hAnsi="Liberation Serif" w:cs="Liberation Serif"/>
          <w:sz w:val="28"/>
          <w:szCs w:val="28"/>
        </w:rPr>
        <w:t xml:space="preserve">тствии с иными правовыми актами муниципального округа Тазовский район, а также иной просроченной (нерегулированной) задолженности по денежным обязательствам перед муниципальным округом Тазовский район (за исключением субсидий, предоставляемых государственн</w:t>
      </w:r>
      <w:r>
        <w:rPr>
          <w:rFonts w:ascii="Liberation Serif" w:hAnsi="Liberation Serif" w:cs="Liberation Serif"/>
          <w:sz w:val="28"/>
          <w:szCs w:val="28"/>
        </w:rPr>
        <w:t xml:space="preserve">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участники отбора не должны находиться</w:t>
      </w:r>
      <w:r>
        <w:rPr>
          <w:rFonts w:ascii="Liberation Serif" w:hAnsi="Liberation Serif" w:cs="Liberation Serif"/>
          <w:sz w:val="28"/>
          <w:szCs w:val="28"/>
        </w:rPr>
        <w:t xml:space="preserve"> в процессе</w:t>
      </w:r>
      <w:r>
        <w:rPr>
          <w:rFonts w:ascii="Liberation Serif" w:hAnsi="Liberation Serif" w:cs="Liberation Serif"/>
          <w:sz w:val="28"/>
          <w:szCs w:val="28"/>
        </w:rPr>
        <w:t xml:space="preserve">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Федерации;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в реестре дисквалифицированных лиц отсутствуют сведения </w:t>
      </w:r>
      <w:r>
        <w:rPr>
          <w:rFonts w:ascii="Liberation Serif" w:hAnsi="Liberation Serif" w:cs="Liberation Serif"/>
          <w:sz w:val="28"/>
          <w:szCs w:val="28"/>
        </w:rPr>
        <w:t xml:space="preserve"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лицом;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after="24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участники отбора не должны являться иностранными юридическими ли</w:t>
      </w:r>
      <w:r>
        <w:rPr>
          <w:rFonts w:ascii="Liberation Serif" w:hAnsi="Liberation Serif" w:cs="Liberation Serif"/>
          <w:sz w:val="28"/>
          <w:szCs w:val="28"/>
        </w:rPr>
        <w:t xml:space="preserve">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</w:t>
      </w:r>
      <w:r>
        <w:rPr>
          <w:rFonts w:ascii="Liberation Serif" w:hAnsi="Liberation Serif" w:cs="Liberation Serif"/>
          <w:sz w:val="28"/>
          <w:szCs w:val="28"/>
        </w:rPr>
        <w:t xml:space="preserve">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участники отбора не должны получать средства </w:t>
      </w:r>
      <w:r>
        <w:rPr>
          <w:rFonts w:ascii="Liberation Serif" w:hAnsi="Liberation Serif" w:cs="Liberation Serif"/>
          <w:sz w:val="28"/>
          <w:szCs w:val="28"/>
        </w:rPr>
        <w:t xml:space="preserve">из бюджета Тазовского района</w:t>
      </w:r>
      <w:r>
        <w:rPr>
          <w:rFonts w:ascii="Liberation Serif" w:hAnsi="Liberation Serif" w:cs="Liberation Serif"/>
          <w:sz w:val="28"/>
          <w:szCs w:val="28"/>
        </w:rPr>
        <w:t xml:space="preserve"> в соответствии с настоящим Порядком</w:t>
      </w:r>
      <w:r>
        <w:rPr>
          <w:rFonts w:ascii="Liberation Serif" w:hAnsi="Liberation Serif" w:cs="Liberation Serif"/>
          <w:sz w:val="28"/>
          <w:szCs w:val="28"/>
        </w:rPr>
        <w:t xml:space="preserve">, на основании иных нормативных правовых актов или муниципальных правовых актов, на</w:t>
      </w:r>
      <w:r>
        <w:rPr>
          <w:rFonts w:ascii="Liberation Serif" w:hAnsi="Liberation Serif" w:cs="Liberation Serif"/>
          <w:sz w:val="28"/>
          <w:szCs w:val="28"/>
        </w:rPr>
        <w:t xml:space="preserve"> осуществление </w:t>
      </w:r>
      <w:r>
        <w:rPr>
          <w:rFonts w:ascii="Liberation Serif" w:hAnsi="Liberation Serif" w:cs="Liberation Serif"/>
          <w:sz w:val="28"/>
          <w:szCs w:val="28"/>
        </w:rPr>
        <w:t xml:space="preserve">проведения</w:t>
      </w:r>
      <w:r>
        <w:rPr>
          <w:rFonts w:ascii="Liberation Serif" w:hAnsi="Liberation Serif" w:cs="Liberation Serif"/>
          <w:sz w:val="28"/>
          <w:szCs w:val="28"/>
        </w:rPr>
        <w:t xml:space="preserve"> работ по ремонту (модернизации)и реконструкции водоочистных сооружений и водозаборов находящихся в муниципальной собственности, направленных на повышение качества и надежности водоснабжения населения.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5. </w:t>
      </w:r>
      <w:r>
        <w:rPr>
          <w:rFonts w:ascii="Liberation Serif" w:hAnsi="Liberation Serif" w:cs="Liberation Serif"/>
          <w:bCs/>
          <w:sz w:val="28"/>
          <w:szCs w:val="28"/>
        </w:rPr>
        <w:t xml:space="preserve">Критериями и условиями отбора юридических лиц, имеющих право на получение субсидии</w:t>
      </w:r>
      <w:r>
        <w:rPr>
          <w:rFonts w:ascii="Liberation Serif" w:hAnsi="Liberation Serif" w:cs="Liberation Serif"/>
          <w:sz w:val="28"/>
          <w:szCs w:val="28"/>
        </w:rPr>
        <w:t xml:space="preserve">:</w:t>
      </w:r>
      <w:r>
        <w:rPr>
          <w:rFonts w:ascii="Liberation Serif" w:hAnsi="Liberation Serif" w:cs="Liberation Serif"/>
        </w:rPr>
      </w:r>
      <w:r/>
    </w:p>
    <w:p>
      <w:pPr>
        <w:ind w:firstLine="709"/>
        <w:jc w:val="both"/>
        <w:spacing w:line="240" w:lineRule="auto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bCs/>
          <w:sz w:val="28"/>
          <w:szCs w:val="28"/>
        </w:rPr>
        <w:t xml:space="preserve">наличие свидетельства о государственной регистрации или свидетельства о постановке на учет в налоговом органе на территории муниципального округа Тазовский район Ямало-Ненецкого автономного округа (далее – муниципальный округ Тазовский район);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t xml:space="preserve">осуществление деятельности по </w:t>
      </w:r>
      <w:r>
        <w:rPr>
          <w:rFonts w:ascii="Liberation Serif" w:hAnsi="Liberation Serif" w:cs="Liberation Serif"/>
          <w:bCs/>
          <w:sz w:val="28"/>
          <w:szCs w:val="28"/>
        </w:rPr>
        <w:t xml:space="preserve">ремонту (модернизации) и реконструкции водоочистных сооружений и водозаборов задействованных при производстве и передаче воды. 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 xml:space="preserve">Для участия в отборе заявитель в</w:t>
      </w:r>
      <w:r>
        <w:rPr>
          <w:rFonts w:ascii="Liberation Serif" w:hAnsi="Liberation Serif" w:cs="Liberation Serif"/>
          <w:sz w:val="28"/>
          <w:szCs w:val="28"/>
        </w:rPr>
        <w:t xml:space="preserve"> течение 1</w:t>
      </w:r>
      <w:r>
        <w:rPr>
          <w:rFonts w:ascii="Liberation Serif" w:hAnsi="Liberation Serif" w:cs="Liberation Serif"/>
          <w:sz w:val="28"/>
          <w:szCs w:val="28"/>
        </w:rPr>
        <w:t xml:space="preserve">0 дней со дня, указанного в объявлении</w:t>
      </w:r>
      <w:r>
        <w:rPr>
          <w:rFonts w:ascii="Liberation Serif" w:hAnsi="Liberation Serif" w:cs="Liberation Serif"/>
          <w:sz w:val="28"/>
          <w:szCs w:val="28"/>
        </w:rPr>
        <w:t xml:space="preserve">, представляет в адрес уполномоченного органа заявление на участие в отборе по предоставлению субсидии, и прилагаемые к нему документы (далее – заявление) на адрес электронной почт</w:t>
      </w: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ы</w:t>
      </w: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 </w:t>
      </w:r>
      <w:hyperlink r:id="rId12" w:tooltip="mailto:ogts1@mail.ru" w:history="1">
        <w:r>
          <w:rPr>
            <w:rStyle w:val="825"/>
            <w:rFonts w:ascii="Liberation Serif" w:hAnsi="Liberation Serif" w:cs="Liberation Serif"/>
            <w:color w:val="auto"/>
            <w:sz w:val="28"/>
            <w:szCs w:val="28"/>
            <w:highlight w:val="white"/>
            <w:lang w:val="en-US"/>
          </w:rPr>
          <w:t xml:space="preserve">ogts</w:t>
        </w:r>
        <w:r>
          <w:rPr>
            <w:rStyle w:val="825"/>
            <w:rFonts w:ascii="Liberation Serif" w:hAnsi="Liberation Serif" w:cs="Liberation Serif"/>
            <w:color w:val="auto"/>
            <w:sz w:val="28"/>
            <w:szCs w:val="28"/>
            <w:highlight w:val="white"/>
          </w:rPr>
          <w:t xml:space="preserve">1@mail.ru</w:t>
        </w:r>
      </w:hyperlink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,</w:t>
      </w: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или представляет докум</w:t>
      </w:r>
      <w:r>
        <w:rPr>
          <w:rFonts w:ascii="Liberation Serif" w:hAnsi="Liberation Serif" w:cs="Liberation Serif"/>
          <w:sz w:val="28"/>
          <w:szCs w:val="28"/>
        </w:rPr>
        <w:t xml:space="preserve">енты по адресу: п. </w:t>
      </w:r>
      <w:r>
        <w:rPr>
          <w:rFonts w:ascii="Liberation Serif" w:hAnsi="Liberation Serif" w:cs="Liberation Serif"/>
          <w:sz w:val="28"/>
          <w:szCs w:val="28"/>
        </w:rPr>
        <w:t xml:space="preserve">Тазовский, ул. Геофизиков 1Б, кабинет 5; контактный телефон 2-03-87: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заявлен</w:t>
      </w:r>
      <w:r>
        <w:rPr>
          <w:rFonts w:ascii="Liberation Serif" w:hAnsi="Liberation Serif" w:cs="Liberation Serif"/>
          <w:sz w:val="28"/>
          <w:szCs w:val="28"/>
        </w:rPr>
        <w:t xml:space="preserve">ие на участие в отборе по форме</w:t>
      </w:r>
      <w:r>
        <w:rPr>
          <w:rFonts w:ascii="Liberation Serif" w:hAnsi="Liberation Serif" w:cs="Liberation Serif"/>
          <w:sz w:val="28"/>
          <w:szCs w:val="28"/>
        </w:rPr>
        <w:t xml:space="preserve"> (приложение №1)</w:t>
      </w:r>
      <w:r>
        <w:rPr>
          <w:rFonts w:ascii="Liberation Serif" w:hAnsi="Liberation Serif" w:cs="Liberation Serif"/>
          <w:sz w:val="28"/>
          <w:szCs w:val="28"/>
        </w:rPr>
        <w:t xml:space="preserve">, прилагаемой к настоящему объявлению с приложением следующих документов: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after="24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справки</w:t>
      </w:r>
      <w:r>
        <w:rPr>
          <w:rFonts w:ascii="Liberation Serif" w:hAnsi="Liberation Serif" w:cs="Liberation Serif"/>
          <w:sz w:val="28"/>
          <w:szCs w:val="28"/>
        </w:rPr>
        <w:t xml:space="preserve"> о состоянии расчетов по налогам, сборам и иным обязательным платежам в бюджеты любого уровня или государственные внебюджетные фонды по состоянию на 1-е число месяца, предшествующего месяцу, в котором планируется проведение отбора;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копий</w:t>
      </w:r>
      <w:r>
        <w:rPr>
          <w:rFonts w:ascii="Liberation Serif" w:hAnsi="Liberation Serif" w:cs="Liberation Serif"/>
          <w:sz w:val="28"/>
          <w:szCs w:val="28"/>
        </w:rPr>
        <w:t xml:space="preserve"> учредительных документов;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выписки</w:t>
      </w:r>
      <w:r>
        <w:rPr>
          <w:rFonts w:ascii="Liberation Serif" w:hAnsi="Liberation Serif" w:cs="Liberation Serif"/>
          <w:sz w:val="28"/>
          <w:szCs w:val="28"/>
        </w:rPr>
        <w:t xml:space="preserve"> из единого государственного реестра юридических лиц;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cs="Liberation Serif"/>
          <w:sz w:val="28"/>
          <w:szCs w:val="28"/>
        </w:rPr>
        <w:t xml:space="preserve">свидетельства</w:t>
      </w:r>
      <w:r>
        <w:rPr>
          <w:rFonts w:ascii="Liberation Serif" w:hAnsi="Liberation Serif" w:cs="Liberation Serif"/>
          <w:sz w:val="28"/>
          <w:szCs w:val="28"/>
        </w:rPr>
        <w:t xml:space="preserve"> о государственной регистрации юридического лица;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свидетельства</w:t>
      </w:r>
      <w:r>
        <w:rPr>
          <w:rFonts w:ascii="Liberation Serif" w:hAnsi="Liberation Serif" w:cs="Liberation Serif"/>
          <w:sz w:val="28"/>
          <w:szCs w:val="28"/>
        </w:rPr>
        <w:t xml:space="preserve"> о постановке на учет в налоговом органе;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документов, подтверждающих</w:t>
      </w:r>
      <w:r>
        <w:rPr>
          <w:rFonts w:ascii="Liberation Serif" w:hAnsi="Liberation Serif" w:cs="Liberation Serif"/>
          <w:sz w:val="28"/>
          <w:szCs w:val="28"/>
        </w:rPr>
        <w:t xml:space="preserve"> полномочия лица, имеющего право действовать от имени юридического лица;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бухгалтерской отчетности</w:t>
      </w:r>
      <w:r>
        <w:rPr>
          <w:rFonts w:ascii="Liberation Serif" w:hAnsi="Liberation Serif" w:cs="Liberation Serif"/>
          <w:sz w:val="28"/>
          <w:szCs w:val="28"/>
        </w:rPr>
        <w:t xml:space="preserve"> за последний отчетный период;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</w:t>
      </w:r>
      <w:r>
        <w:rPr>
          <w:rFonts w:ascii="Liberation Serif" w:hAnsi="Liberation Serif" w:cs="Liberation Serif"/>
          <w:sz w:val="28"/>
          <w:szCs w:val="28"/>
        </w:rPr>
        <w:t xml:space="preserve"> уведомление об открытии расчетного или корреспондентского счета, открытого получателю субсидии в учреждениях Центрального банка Российской Федер</w:t>
      </w:r>
      <w:r>
        <w:rPr>
          <w:rFonts w:ascii="Liberation Serif" w:hAnsi="Liberation Serif" w:cs="Liberation Serif"/>
          <w:sz w:val="28"/>
          <w:szCs w:val="28"/>
        </w:rPr>
        <w:t xml:space="preserve">ации или кредитных организациях;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сведения (документы) о соответствии критериям</w:t>
      </w:r>
      <w:r>
        <w:rPr>
          <w:rFonts w:ascii="Liberation Serif" w:hAnsi="Liberation Serif" w:cs="Liberation Serif"/>
          <w:sz w:val="28"/>
          <w:szCs w:val="28"/>
        </w:rPr>
        <w:t xml:space="preserve"> и условиям, указанным в настоящем объявлении</w:t>
      </w:r>
      <w:r>
        <w:rPr>
          <w:rFonts w:ascii="Liberation Serif" w:hAnsi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6.1. </w:t>
      </w:r>
      <w:r>
        <w:rPr>
          <w:rFonts w:ascii="Liberation Serif" w:hAnsi="Liberation Serif" w:cs="Liberation Serif"/>
          <w:sz w:val="28"/>
          <w:szCs w:val="28"/>
        </w:rPr>
        <w:t xml:space="preserve">Ответственность за достоверность представляемых документов                             и сведений, указанных в них</w:t>
      </w:r>
      <w:r>
        <w:rPr>
          <w:rFonts w:ascii="Liberation Serif" w:hAnsi="Liberation Serif" w:cs="Liberation Serif"/>
          <w:sz w:val="28"/>
          <w:szCs w:val="28"/>
        </w:rPr>
        <w:t xml:space="preserve">,</w:t>
      </w:r>
      <w:r>
        <w:rPr>
          <w:rFonts w:ascii="Liberation Serif" w:hAnsi="Liberation Serif" w:cs="Liberation Serif"/>
          <w:sz w:val="28"/>
          <w:szCs w:val="28"/>
        </w:rPr>
        <w:t xml:space="preserve"> несет заявитель.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after="24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6.2.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Заявитель, подавший заявление, вправе внести изменения                                в заявление до истечения срока подачи заявлений, направив в </w:t>
      </w:r>
      <w:r>
        <w:rPr>
          <w:rFonts w:ascii="Liberation Serif" w:hAnsi="Liberation Serif" w:cs="Liberation Serif"/>
          <w:sz w:val="28"/>
          <w:szCs w:val="28"/>
        </w:rPr>
        <w:t xml:space="preserve">уполномоченный орган уведомление и изменения на адрес </w:t>
      </w:r>
      <w:r>
        <w:rPr>
          <w:rFonts w:ascii="Liberation Serif" w:hAnsi="Liberation Serif" w:cs="Liberation Serif"/>
          <w:sz w:val="28"/>
          <w:szCs w:val="28"/>
        </w:rPr>
        <w:t xml:space="preserve">электронной почты</w:t>
      </w:r>
      <w:r>
        <w:rPr>
          <w:rFonts w:ascii="Liberation Serif" w:hAnsi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6.3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 xml:space="preserve">Изменения в ранее представленное заявление вносятся по принципу полной замены заявления, т.е. представляется вновь оформленное заявле</w:t>
      </w:r>
      <w:r>
        <w:rPr>
          <w:rFonts w:ascii="Liberation Serif" w:hAnsi="Liberation Serif" w:cs="Liberation Serif"/>
          <w:sz w:val="28"/>
          <w:szCs w:val="28"/>
        </w:rPr>
        <w:t xml:space="preserve">ние с указанием в сопроводительном письме к такому заявлению необходимости изъятия ранее представленного заявления и регистрации нового заявления. При этом датой регистрации нового заявления будет считаться дата регистрации ранее представленного заявления.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6.4.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Заявитель, подавший заявление, вправе отозвать поданное заявление в любое время до момента окончания приема заявлений.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Для отзыва заявления заявитель направляет в уполномоченный орган уведомление об отзыве заявления.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6.5.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Заявления, полученные по истечении срока подачи заявлени</w:t>
      </w:r>
      <w:r>
        <w:rPr>
          <w:rFonts w:ascii="Liberation Serif" w:hAnsi="Liberation Serif" w:cs="Liberation Serif"/>
          <w:sz w:val="28"/>
          <w:szCs w:val="28"/>
        </w:rPr>
        <w:t xml:space="preserve">й                         на участие в отборе, возвращаются заявителю: на адрес электронной почты, указанный в заявлении (при поступлении заявления на адрес электронной почты уполномоченного органа), или по почтовому адресу, указанному в заявлении (при пре</w:t>
      </w:r>
      <w:r>
        <w:rPr>
          <w:rFonts w:ascii="Liberation Serif" w:hAnsi="Liberation Serif" w:cs="Liberation Serif"/>
          <w:sz w:val="28"/>
          <w:szCs w:val="28"/>
        </w:rPr>
        <w:t xml:space="preserve">доставлении заявления)</w:t>
      </w:r>
      <w:r>
        <w:rPr>
          <w:rFonts w:ascii="Liberation Serif" w:hAnsi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6.5.1. Основаниями для отклонения заявления участника отбора на стадии рассмотрения и оценки являются: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несоответствие участника отбора требованиям, установленным в настоящем объявлении;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несоответствие представленных участником отбора заявления и документов требованиям к заявлению участников отбора, установленным в объявлении о проведении отбора;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недостоверность представленной участником отбора информации, в том числе информации о месте нахождения и адресе юридического лица;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подача участником отбора заявления после даты и (или) времени, определенных для подачи заявления.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6.6 Каждый заявитель, претендующий на получение субсидии,                     имеет право представить одно заявление на участие в отборе.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6.7 Разъяснения положений объявления о проведении отбора осуществляются уполномоченным органом в течение 2 рабочих дней</w:t>
      </w:r>
      <w:r>
        <w:rPr>
          <w:rFonts w:ascii="Liberation Serif" w:hAnsi="Liberation Serif" w:cs="Liberation Serif"/>
          <w:sz w:val="28"/>
          <w:szCs w:val="28"/>
        </w:rPr>
        <w:t xml:space="preserve"> с момента поступления на адрес электронной почты,</w:t>
      </w:r>
      <w:r>
        <w:rPr>
          <w:rFonts w:ascii="Liberation Serif" w:hAnsi="Liberation Serif" w:cs="Liberation Serif"/>
          <w:sz w:val="28"/>
          <w:szCs w:val="28"/>
        </w:rPr>
        <w:t xml:space="preserve"> запроса от заявителя на предоставление соответствующего разъяснения и направляются на адрес электронной почты заявителя.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</w:t>
      </w:r>
      <w:r>
        <w:rPr>
          <w:rFonts w:ascii="Liberation Serif" w:hAnsi="Liberation Serif" w:cs="Liberation Serif"/>
          <w:sz w:val="28"/>
          <w:szCs w:val="28"/>
        </w:rPr>
        <w:t xml:space="preserve"> Правила рассмотрения и оценки заявлений, поступивших для участия в отборе: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п</w:t>
      </w:r>
      <w:r>
        <w:rPr>
          <w:rFonts w:ascii="Liberation Serif" w:hAnsi="Liberation Serif" w:cs="Liberation Serif"/>
          <w:sz w:val="28"/>
          <w:szCs w:val="28"/>
        </w:rPr>
        <w:t xml:space="preserve">редложения (заявки) 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участников отбора рассматриваются и оцениваются комиссией по рассмотрению и оценке предложений (заявок) участников отбора, созданной уполномоченным органом до начала проведения отбора (далее - Комиссия)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.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 Уполномоченный орган определяет состав Комиссии и порядок ее работы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к</w:t>
      </w:r>
      <w:r>
        <w:rPr>
          <w:rFonts w:ascii="Liberation Serif" w:hAnsi="Liberation Serif" w:cs="Liberation Serif"/>
          <w:sz w:val="28"/>
          <w:szCs w:val="28"/>
        </w:rPr>
        <w:t xml:space="preserve">омиссия 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рассматривает и оценивает предложения (заявки) участников отбора на предмет их соответствия установленным в объявлении о проведении отбора требованиям, и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 представленным заявителем документов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в</w:t>
      </w:r>
      <w:r>
        <w:rPr>
          <w:rFonts w:ascii="Liberation Serif" w:hAnsi="Liberation Serif" w:cs="Liberation Serif"/>
          <w:sz w:val="28"/>
          <w:szCs w:val="28"/>
        </w:rPr>
        <w:t xml:space="preserve"> срок, не превышающий 10 рабочих дней с даты окончания приема заявлений, Комиссия готовит заключения о соответствии (не соответствии) </w:t>
      </w:r>
      <w:r>
        <w:rPr>
          <w:rFonts w:ascii="Liberation Serif" w:hAnsi="Liberation Serif" w:cs="Liberation Serif"/>
          <w:sz w:val="28"/>
          <w:szCs w:val="28"/>
        </w:rPr>
        <w:t xml:space="preserve">заявителя требованиям и условиям, установленным в настоящем объявлении</w:t>
      </w:r>
      <w:r>
        <w:rPr>
          <w:rFonts w:ascii="Liberation Serif" w:hAnsi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Заключение Комиссии содержит следующую информацию: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порядковый номер и дату заключения;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наименование заявителя;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дату, время и номер заявления, присвоенные Комиссией;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о соответствии (несоответствии) зая</w:t>
      </w:r>
      <w:r>
        <w:rPr>
          <w:rFonts w:ascii="Liberation Serif" w:hAnsi="Liberation Serif" w:cs="Liberation Serif"/>
          <w:sz w:val="28"/>
          <w:szCs w:val="28"/>
        </w:rPr>
        <w:t xml:space="preserve">вителя требованиям, определенным в настоящем объявлении</w:t>
      </w:r>
      <w:r>
        <w:rPr>
          <w:rFonts w:ascii="Liberation Serif" w:hAnsi="Liberation Serif" w:cs="Liberation Serif"/>
          <w:sz w:val="28"/>
          <w:szCs w:val="28"/>
        </w:rPr>
        <w:t xml:space="preserve">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о соответствии (несоответствии) представленных заявителем документов тре</w:t>
      </w:r>
      <w:r>
        <w:rPr>
          <w:rFonts w:ascii="Liberation Serif" w:hAnsi="Liberation Serif" w:cs="Liberation Serif"/>
          <w:sz w:val="28"/>
          <w:szCs w:val="28"/>
        </w:rPr>
        <w:t xml:space="preserve">бованиям, определенным</w:t>
      </w:r>
      <w:r>
        <w:rPr>
          <w:rFonts w:ascii="Liberation Serif" w:hAnsi="Liberation Serif" w:cs="Liberation Serif"/>
          <w:sz w:val="28"/>
          <w:szCs w:val="28"/>
        </w:rPr>
        <w:t xml:space="preserve"> настоящим объявлением</w:t>
      </w:r>
      <w:r>
        <w:rPr>
          <w:rFonts w:ascii="Liberation Serif" w:hAnsi="Liberation Serif" w:cs="Liberation Serif"/>
          <w:sz w:val="28"/>
          <w:szCs w:val="28"/>
        </w:rPr>
        <w:t xml:space="preserve">, а также их представление в полном объеме;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о выявленных фактах предоставления заявителем недостоверной информации;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о соответствии (несоответствии) организации 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требованиям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, установленным</w:t>
      </w:r>
      <w:r>
        <w:rPr>
          <w:rFonts w:ascii="Liberation Serif" w:hAnsi="Liberation Serif" w:eastAsia="Calibri" w:cs="Liberation Serif"/>
          <w:sz w:val="28"/>
          <w:szCs w:val="28"/>
        </w:rPr>
        <w:t xml:space="preserve"> в настоящем объявлении</w:t>
      </w:r>
      <w:r>
        <w:rPr>
          <w:rFonts w:ascii="Liberation Serif" w:hAnsi="Liberation Serif" w:cs="Liberation Serif"/>
          <w:sz w:val="28"/>
          <w:szCs w:val="28"/>
        </w:rPr>
        <w:t xml:space="preserve">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размер субсидии;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иные сведения, необходимые для всестороннего рассмотрения заявления;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вывод об итогах рассмотрения представленных документов;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подпись исполнителя, составившего заключение.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7.1 </w:t>
      </w:r>
      <w:r>
        <w:rPr>
          <w:rFonts w:ascii="Liberation Serif" w:hAnsi="Liberation Serif" w:cs="Liberation Serif"/>
          <w:sz w:val="28"/>
          <w:szCs w:val="28"/>
        </w:rPr>
        <w:t xml:space="preserve">Результаты проведения отбора оформляются Протоко</w:t>
      </w:r>
      <w:r>
        <w:rPr>
          <w:rFonts w:ascii="Liberation Serif" w:hAnsi="Liberation Serif" w:cs="Liberation Serif"/>
          <w:sz w:val="28"/>
          <w:szCs w:val="28"/>
        </w:rPr>
        <w:t xml:space="preserve">лом о результатах проведения отбора (далее – Протокол), в срок не превышающий 5 рабочих дней с момента подготовки Заключения. Протокол подписывается председателем и членами комиссии. Дата оформления Протокола считается днем определения победителей отбора.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7.2 </w:t>
      </w:r>
      <w:r>
        <w:rPr>
          <w:rFonts w:ascii="Liberation Serif" w:hAnsi="Liberation Serif" w:cs="Liberation Serif"/>
          <w:sz w:val="28"/>
          <w:szCs w:val="28"/>
        </w:rPr>
        <w:t xml:space="preserve">Протокол должен содержать следующую информацию: 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дата, время и место рассмотрения заявлений на участие в отборе;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информация об участниках отбора, заявления которых были рассмотрены;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информация об участниках, заявления которых были отклонены, с указанием причин их отклонения, в том числе положений объявлений о проведении отбора, которым не соответствуют такие заявления;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наименование получателей субсидии, с которым заключается соглашение и размер предоставляемых им субсидий.</w:t>
      </w:r>
      <w:r>
        <w:rPr>
          <w:rFonts w:ascii="Liberation Serif" w:hAnsi="Liberation Serif" w:cs="Liberation Serif"/>
        </w:rPr>
      </w:r>
      <w:r/>
    </w:p>
    <w:p>
      <w:pPr>
        <w:ind w:firstLine="567"/>
        <w:jc w:val="both"/>
        <w:spacing w:line="240" w:lineRule="auto"/>
        <w:shd w:val="clear" w:color="auto" w:fill="ffffff"/>
        <w:tabs>
          <w:tab w:val="left" w:pos="4730" w:leader="none"/>
        </w:tabs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7.3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Информация, содержащаяся в Протокол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е,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размещается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Управлением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на едином портале (с момента реализации возможности) и на официальном сайте органа местного самоуправления </w:t>
      </w:r>
      <w:r>
        <w:rPr>
          <w:rFonts w:ascii="Liberation Serif" w:hAnsi="Liberation Serif" w:eastAsia="Arial" w:cs="Liberation Serif"/>
          <w:color w:val="000000" w:themeColor="text1"/>
          <w:sz w:val="28"/>
          <w:szCs w:val="28"/>
          <w:highlight w:val="white"/>
        </w:rPr>
        <w:t xml:space="preserve">https://tasu.yanao.ru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.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none"/>
        </w:rPr>
        <w:t xml:space="preserve">и</w:t>
      </w:r>
      <w:r>
        <w:rPr>
          <w:rFonts w:ascii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Liberation Serif" w:hAnsi="Liberation Serif"/>
          <w:color w:val="000000" w:themeColor="text1"/>
          <w:sz w:val="28"/>
          <w:szCs w:val="28"/>
          <w:highlight w:val="white"/>
        </w:rPr>
      </w:r>
      <w:hyperlink r:id="rId13" w:tooltip="https://tasu.ru/ekonomika-i-finansy/kommunikatsii-stroitelstvo-i-zhilishchnaya-politika/upravlenie-kommunikatsiy-stroitelstva-i-zhilishchnoy-politiki/." w:history="1">
        <w:r>
          <w:rPr>
            <w:rStyle w:val="825"/>
            <w:rFonts w:ascii="Liberation Serif" w:hAnsi="Liberation Serif"/>
            <w:color w:val="000000" w:themeColor="text1"/>
            <w:sz w:val="28"/>
            <w:szCs w:val="28"/>
            <w:highlight w:val="white"/>
          </w:rPr>
          <w:t xml:space="preserve">https://tasu.ru/ekonomika-i-finansy/kommunikatsii-stroitelstvo-i-zhilishchnaya-politika/upravlenie-kommunikatsiy-stroitelstva-i-zhilishchnoy-politiki/</w:t>
        </w:r>
        <w:r>
          <w:rPr>
            <w:rStyle w:val="825"/>
            <w:rFonts w:ascii="Liberation Serif" w:hAnsi="Liberation Serif" w:cs="Liberation Serif"/>
            <w:color w:val="000000" w:themeColor="text1"/>
            <w:sz w:val="28"/>
            <w:szCs w:val="28"/>
            <w:highlight w:val="white"/>
          </w:rPr>
          <w:t xml:space="preserve">.</w:t>
        </w:r>
        <w:r>
          <w:rPr>
            <w:rStyle w:val="825"/>
            <w:color w:val="000000" w:themeColor="text1"/>
          </w:rPr>
        </w:r>
        <w:r>
          <w:rPr>
            <w:rStyle w:val="825"/>
            <w:rFonts w:ascii="Liberation Serif" w:hAnsi="Liberation Serif" w:cs="Liberation Serif"/>
            <w:color w:val="000000" w:themeColor="text1"/>
            <w:sz w:val="28"/>
            <w:szCs w:val="28"/>
          </w:rPr>
        </w:r>
      </w:hyperlink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не позднее 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14-го календарного дня, следующего за днем определения победителей </w:t>
      </w:r>
      <w:r>
        <w:rPr>
          <w:rFonts w:ascii="Liberation Serif" w:hAnsi="Liberation Serif" w:cs="Liberation Serif"/>
          <w:sz w:val="28"/>
          <w:szCs w:val="28"/>
        </w:rPr>
        <w:t xml:space="preserve">отбора.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8. </w:t>
      </w:r>
      <w:r>
        <w:rPr>
          <w:rFonts w:ascii="Liberation Serif" w:hAnsi="Liberation Serif" w:cs="Liberation Serif"/>
          <w:sz w:val="28"/>
          <w:szCs w:val="28"/>
        </w:rPr>
        <w:t xml:space="preserve">Заявитель признается прошедшим отбор в случае соответствия критериям и условиям,</w:t>
      </w:r>
      <w:r>
        <w:rPr>
          <w:rFonts w:ascii="Liberation Serif" w:hAnsi="Liberation Serif" w:cs="Liberation Serif"/>
          <w:sz w:val="28"/>
          <w:szCs w:val="28"/>
        </w:rPr>
        <w:t xml:space="preserve"> установленным в настоящем объявлении</w:t>
      </w:r>
      <w:r>
        <w:rPr>
          <w:rFonts w:ascii="Liberation Serif" w:hAnsi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9. </w:t>
      </w:r>
      <w:r>
        <w:rPr>
          <w:rFonts w:ascii="Liberation Serif" w:hAnsi="Liberation Serif" w:cs="Liberation Serif"/>
          <w:sz w:val="28"/>
          <w:szCs w:val="28"/>
        </w:rPr>
        <w:t xml:space="preserve">С заявителями, прошедшими отбор, уполномоченный орган заключает соглашение в течение 10 рабочих дней</w:t>
      </w:r>
      <w:r>
        <w:rPr>
          <w:rFonts w:ascii="Liberation Serif" w:hAnsi="Liberation Serif" w:cs="Liberation Serif"/>
          <w:sz w:val="28"/>
          <w:szCs w:val="28"/>
        </w:rPr>
        <w:t xml:space="preserve"> со дня, когда заявитель признан победителем отбора</w:t>
      </w:r>
      <w:r>
        <w:rPr>
          <w:rFonts w:ascii="Liberation Serif" w:hAnsi="Liberation Serif" w:cs="Liberation Serif"/>
          <w:sz w:val="28"/>
          <w:szCs w:val="28"/>
        </w:rPr>
        <w:t xml:space="preserve">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10. Решение уполномоченного органа о предоставлении субсидии                       с указанием ее размера – в отношении победителей отбора оформляется локальным актом уполномоченного органа в течение 15 рабочих дней с даты окончания приема заявлений.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11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 xml:space="preserve">В течение двух календарных дней с даты подписания локального акта уполномоченный орган направляет уведомления о решении в адрес</w:t>
      </w:r>
      <w:r>
        <w:rPr>
          <w:rFonts w:ascii="Liberation Serif" w:hAnsi="Liberation Serif" w:cs="Liberation Serif"/>
          <w:sz w:val="28"/>
          <w:szCs w:val="28"/>
        </w:rPr>
        <w:t xml:space="preserve"> заявителей, в отношении которых принято решение об отказе в предоставлении субсидии; направляет заявителям, имеющим право на получение субсидии, уведомление об итогах рассмотрения заявлений с предложением о заключении Соглашения о предоставлении субсидии.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12.</w:t>
      </w:r>
      <w:r>
        <w:rPr>
          <w:rFonts w:ascii="Liberation Serif" w:hAnsi="Liberation Serif" w:cs="Liberation Serif"/>
          <w:sz w:val="28"/>
          <w:szCs w:val="28"/>
        </w:rPr>
        <w:t xml:space="preserve"> Не позднее 14-го календарного дня, следующего за </w:t>
      </w:r>
      <w:r>
        <w:rPr>
          <w:rFonts w:ascii="Liberation Serif" w:hAnsi="Liberation Serif" w:cs="Liberation Serif"/>
          <w:sz w:val="28"/>
          <w:szCs w:val="28"/>
        </w:rPr>
        <w:t xml:space="preserve">днем определения победителей отбора уполномоченный орган размещает информацию на едином портале (с момента появления технической возможности), а также на официальном сайте Уполномоченного органа об итогах проведенного отбора, содержащую следующие сведения: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дата, время и место проведения рассмотрения заявлений;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информация об участниках отбора, заявления которых были рассмотрены;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информация об участниках отбора, заявления которых были отклонены, с указанием причин их отклонения, в том числе положений объявления                      о проведении отбора, которым не соответствуют такие заявления;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наименование получателей субсидий, с которыми заключаются </w:t>
      </w:r>
      <w:r>
        <w:rPr>
          <w:rFonts w:ascii="Liberation Serif" w:hAnsi="Liberation Serif" w:cs="Liberation Serif"/>
          <w:sz w:val="28"/>
          <w:szCs w:val="28"/>
        </w:rPr>
        <w:t xml:space="preserve">соглашения, и разм</w:t>
      </w:r>
      <w:r>
        <w:rPr>
          <w:rFonts w:ascii="Liberation Serif" w:hAnsi="Liberation Serif" w:cs="Liberation Serif"/>
          <w:sz w:val="28"/>
          <w:szCs w:val="28"/>
        </w:rPr>
        <w:t xml:space="preserve">ер предоставляемой им субсидии.</w:t>
      </w:r>
      <w:r>
        <w:rPr>
          <w:rFonts w:ascii="Liberation Serif" w:hAnsi="Liberation Serif" w:cs="Liberation Serif"/>
        </w:rPr>
      </w:r>
      <w:r/>
    </w:p>
    <w:p>
      <w:pPr>
        <w:pStyle w:val="821"/>
        <w:ind w:firstLine="567"/>
        <w:jc w:val="both"/>
        <w:spacing w:after="24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13.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В случае если после окончания срока подачи предложений (заявок) подано единственное заявление на участие в отборе, и у</w:t>
      </w:r>
      <w:r>
        <w:rPr>
          <w:rFonts w:ascii="Liberation Serif" w:hAnsi="Liberation Serif" w:cs="Liberation Serif"/>
          <w:sz w:val="28"/>
          <w:szCs w:val="28"/>
        </w:rPr>
        <w:t xml:space="preserve">частник отбора, подавший такое заявление соответствует требованиям, установленным настоящим Порядком, то такому участнику отбора Уполномоченный орган направляет способом, позволяющим подтвердить факт и дату направления, предложение о заключении соглашения.</w:t>
      </w:r>
      <w:r>
        <w:rPr>
          <w:rFonts w:ascii="Liberation Serif" w:hAnsi="Liberation Serif" w:cs="Liberation Serif"/>
        </w:rPr>
      </w:r>
      <w:r/>
    </w:p>
    <w:p>
      <w:pPr>
        <w:pStyle w:val="82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</w:rPr>
      </w:r>
      <w:r/>
    </w:p>
    <w:p>
      <w:pPr>
        <w:pStyle w:val="82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</w:rPr>
      </w:r>
      <w:r/>
    </w:p>
    <w:p>
      <w:pPr>
        <w:pStyle w:val="82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</w:r>
      <w:r>
        <w:rPr>
          <w:rFonts w:ascii="Liberation Serif" w:hAnsi="Liberation Serif" w:cs="Liberation Serif"/>
        </w:rPr>
      </w:r>
      <w:r/>
    </w:p>
    <w:p>
      <w:pPr>
        <w:pStyle w:val="82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</w:t>
      </w:r>
      <w:r>
        <w:rPr>
          <w:rFonts w:ascii="Liberation Serif" w:hAnsi="Liberation Serif" w:cs="Liberation Serif"/>
          <w:sz w:val="28"/>
          <w:szCs w:val="28"/>
        </w:rPr>
        <w:t xml:space="preserve">ачальник управления коммуникаций, </w:t>
      </w:r>
      <w:r>
        <w:rPr>
          <w:rFonts w:ascii="Liberation Serif" w:hAnsi="Liberation Serif" w:cs="Liberation Serif"/>
        </w:rPr>
      </w:r>
      <w:r/>
    </w:p>
    <w:p>
      <w:pPr>
        <w:pStyle w:val="82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строительства и жилищной политики </w:t>
      </w:r>
      <w:r>
        <w:rPr>
          <w:rFonts w:ascii="Liberation Serif" w:hAnsi="Liberation Serif" w:cs="Liberation Serif"/>
        </w:rPr>
      </w:r>
      <w:r/>
    </w:p>
    <w:p>
      <w:pPr>
        <w:pStyle w:val="82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Администрации Тазовского района                                            </w:t>
      </w:r>
      <w:r>
        <w:rPr>
          <w:rFonts w:ascii="Liberation Serif" w:hAnsi="Liberation Serif" w:cs="Liberation Serif"/>
          <w:sz w:val="28"/>
          <w:szCs w:val="28"/>
        </w:rPr>
        <w:t xml:space="preserve">                 А.С. Сиденко</w:t>
      </w:r>
      <w:r>
        <w:rPr>
          <w:rFonts w:ascii="Liberation Serif" w:hAnsi="Liberation Serif" w:cs="Liberation Serif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204020203"/>
  </w:font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45" w:hanging="720"/>
      </w:pPr>
      <w:rPr>
        <w:rFonts w:hint="default"/>
        <w:color w:val="auto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6" w:hanging="396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285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49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47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96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20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58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671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9200" w:hanging="21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2">
    <w:name w:val="Heading 1"/>
    <w:basedOn w:val="817"/>
    <w:next w:val="817"/>
    <w:link w:val="64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43">
    <w:name w:val="Heading 1 Char"/>
    <w:basedOn w:val="818"/>
    <w:link w:val="642"/>
    <w:uiPriority w:val="9"/>
    <w:rPr>
      <w:rFonts w:ascii="Arial" w:hAnsi="Arial" w:eastAsia="Arial" w:cs="Arial"/>
      <w:sz w:val="40"/>
      <w:szCs w:val="40"/>
    </w:rPr>
  </w:style>
  <w:style w:type="paragraph" w:styleId="644">
    <w:name w:val="Heading 2"/>
    <w:basedOn w:val="817"/>
    <w:next w:val="817"/>
    <w:link w:val="6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45">
    <w:name w:val="Heading 2 Char"/>
    <w:basedOn w:val="818"/>
    <w:link w:val="644"/>
    <w:uiPriority w:val="9"/>
    <w:rPr>
      <w:rFonts w:ascii="Arial" w:hAnsi="Arial" w:eastAsia="Arial" w:cs="Arial"/>
      <w:sz w:val="34"/>
    </w:rPr>
  </w:style>
  <w:style w:type="paragraph" w:styleId="646">
    <w:name w:val="Heading 3"/>
    <w:basedOn w:val="817"/>
    <w:next w:val="817"/>
    <w:link w:val="6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7">
    <w:name w:val="Heading 3 Char"/>
    <w:basedOn w:val="818"/>
    <w:link w:val="646"/>
    <w:uiPriority w:val="9"/>
    <w:rPr>
      <w:rFonts w:ascii="Arial" w:hAnsi="Arial" w:eastAsia="Arial" w:cs="Arial"/>
      <w:sz w:val="30"/>
      <w:szCs w:val="30"/>
    </w:rPr>
  </w:style>
  <w:style w:type="paragraph" w:styleId="648">
    <w:name w:val="Heading 4"/>
    <w:basedOn w:val="817"/>
    <w:next w:val="817"/>
    <w:link w:val="6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9">
    <w:name w:val="Heading 4 Char"/>
    <w:basedOn w:val="818"/>
    <w:link w:val="648"/>
    <w:uiPriority w:val="9"/>
    <w:rPr>
      <w:rFonts w:ascii="Arial" w:hAnsi="Arial" w:eastAsia="Arial" w:cs="Arial"/>
      <w:b/>
      <w:bCs/>
      <w:sz w:val="26"/>
      <w:szCs w:val="26"/>
    </w:rPr>
  </w:style>
  <w:style w:type="paragraph" w:styleId="650">
    <w:name w:val="Heading 5"/>
    <w:basedOn w:val="817"/>
    <w:next w:val="817"/>
    <w:link w:val="6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1">
    <w:name w:val="Heading 5 Char"/>
    <w:basedOn w:val="818"/>
    <w:link w:val="650"/>
    <w:uiPriority w:val="9"/>
    <w:rPr>
      <w:rFonts w:ascii="Arial" w:hAnsi="Arial" w:eastAsia="Arial" w:cs="Arial"/>
      <w:b/>
      <w:bCs/>
      <w:sz w:val="24"/>
      <w:szCs w:val="24"/>
    </w:rPr>
  </w:style>
  <w:style w:type="paragraph" w:styleId="652">
    <w:name w:val="Heading 6"/>
    <w:basedOn w:val="817"/>
    <w:next w:val="817"/>
    <w:link w:val="6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53">
    <w:name w:val="Heading 6 Char"/>
    <w:basedOn w:val="818"/>
    <w:link w:val="652"/>
    <w:uiPriority w:val="9"/>
    <w:rPr>
      <w:rFonts w:ascii="Arial" w:hAnsi="Arial" w:eastAsia="Arial" w:cs="Arial"/>
      <w:b/>
      <w:bCs/>
      <w:sz w:val="22"/>
      <w:szCs w:val="22"/>
    </w:rPr>
  </w:style>
  <w:style w:type="paragraph" w:styleId="654">
    <w:name w:val="Heading 7"/>
    <w:basedOn w:val="817"/>
    <w:next w:val="817"/>
    <w:link w:val="6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55">
    <w:name w:val="Heading 7 Char"/>
    <w:basedOn w:val="818"/>
    <w:link w:val="6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6">
    <w:name w:val="Heading 8"/>
    <w:basedOn w:val="817"/>
    <w:next w:val="817"/>
    <w:link w:val="6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7">
    <w:name w:val="Heading 8 Char"/>
    <w:basedOn w:val="818"/>
    <w:link w:val="656"/>
    <w:uiPriority w:val="9"/>
    <w:rPr>
      <w:rFonts w:ascii="Arial" w:hAnsi="Arial" w:eastAsia="Arial" w:cs="Arial"/>
      <w:i/>
      <w:iCs/>
      <w:sz w:val="22"/>
      <w:szCs w:val="22"/>
    </w:rPr>
  </w:style>
  <w:style w:type="paragraph" w:styleId="658">
    <w:name w:val="Heading 9"/>
    <w:basedOn w:val="817"/>
    <w:next w:val="817"/>
    <w:link w:val="6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9">
    <w:name w:val="Heading 9 Char"/>
    <w:basedOn w:val="818"/>
    <w:link w:val="658"/>
    <w:uiPriority w:val="9"/>
    <w:rPr>
      <w:rFonts w:ascii="Arial" w:hAnsi="Arial" w:eastAsia="Arial" w:cs="Arial"/>
      <w:i/>
      <w:iCs/>
      <w:sz w:val="21"/>
      <w:szCs w:val="21"/>
    </w:rPr>
  </w:style>
  <w:style w:type="paragraph" w:styleId="660">
    <w:name w:val="List Paragraph"/>
    <w:basedOn w:val="817"/>
    <w:uiPriority w:val="34"/>
    <w:qFormat/>
    <w:pPr>
      <w:contextualSpacing/>
      <w:ind w:left="720"/>
    </w:pPr>
  </w:style>
  <w:style w:type="paragraph" w:styleId="661">
    <w:name w:val="No Spacing"/>
    <w:uiPriority w:val="1"/>
    <w:qFormat/>
    <w:pPr>
      <w:spacing w:before="0" w:after="0" w:line="240" w:lineRule="auto"/>
    </w:pPr>
  </w:style>
  <w:style w:type="paragraph" w:styleId="662">
    <w:name w:val="Title"/>
    <w:basedOn w:val="817"/>
    <w:next w:val="817"/>
    <w:link w:val="6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3">
    <w:name w:val="Title Char"/>
    <w:basedOn w:val="818"/>
    <w:link w:val="662"/>
    <w:uiPriority w:val="10"/>
    <w:rPr>
      <w:sz w:val="48"/>
      <w:szCs w:val="48"/>
    </w:rPr>
  </w:style>
  <w:style w:type="paragraph" w:styleId="664">
    <w:name w:val="Subtitle"/>
    <w:basedOn w:val="817"/>
    <w:next w:val="817"/>
    <w:link w:val="665"/>
    <w:uiPriority w:val="11"/>
    <w:qFormat/>
    <w:pPr>
      <w:spacing w:before="200" w:after="200"/>
    </w:pPr>
    <w:rPr>
      <w:sz w:val="24"/>
      <w:szCs w:val="24"/>
    </w:rPr>
  </w:style>
  <w:style w:type="character" w:styleId="665">
    <w:name w:val="Subtitle Char"/>
    <w:basedOn w:val="818"/>
    <w:link w:val="664"/>
    <w:uiPriority w:val="11"/>
    <w:rPr>
      <w:sz w:val="24"/>
      <w:szCs w:val="24"/>
    </w:rPr>
  </w:style>
  <w:style w:type="paragraph" w:styleId="666">
    <w:name w:val="Quote"/>
    <w:basedOn w:val="817"/>
    <w:next w:val="817"/>
    <w:link w:val="667"/>
    <w:uiPriority w:val="29"/>
    <w:qFormat/>
    <w:pPr>
      <w:ind w:left="720" w:right="720"/>
    </w:pPr>
    <w:rPr>
      <w:i/>
    </w:rPr>
  </w:style>
  <w:style w:type="character" w:styleId="667">
    <w:name w:val="Quote Char"/>
    <w:link w:val="666"/>
    <w:uiPriority w:val="29"/>
    <w:rPr>
      <w:i/>
    </w:rPr>
  </w:style>
  <w:style w:type="paragraph" w:styleId="668">
    <w:name w:val="Intense Quote"/>
    <w:basedOn w:val="817"/>
    <w:next w:val="817"/>
    <w:link w:val="6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9">
    <w:name w:val="Intense Quote Char"/>
    <w:link w:val="668"/>
    <w:uiPriority w:val="30"/>
    <w:rPr>
      <w:i/>
    </w:rPr>
  </w:style>
  <w:style w:type="character" w:styleId="670">
    <w:name w:val="Header Char"/>
    <w:basedOn w:val="818"/>
    <w:link w:val="826"/>
    <w:uiPriority w:val="99"/>
  </w:style>
  <w:style w:type="character" w:styleId="671">
    <w:name w:val="Footer Char"/>
    <w:basedOn w:val="818"/>
    <w:link w:val="828"/>
    <w:uiPriority w:val="99"/>
  </w:style>
  <w:style w:type="paragraph" w:styleId="672">
    <w:name w:val="Caption"/>
    <w:basedOn w:val="817"/>
    <w:next w:val="8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3">
    <w:name w:val="Caption Char"/>
    <w:basedOn w:val="672"/>
    <w:link w:val="828"/>
    <w:uiPriority w:val="99"/>
  </w:style>
  <w:style w:type="table" w:styleId="674">
    <w:name w:val="Table Grid"/>
    <w:basedOn w:val="8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5">
    <w:name w:val="Table Grid Light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6">
    <w:name w:val="Plain Table 1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8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3">
    <w:name w:val="Grid Table 4 - Accent 1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4">
    <w:name w:val="Grid Table 4 - Accent 2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5">
    <w:name w:val="Grid Table 4 - Accent 3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6">
    <w:name w:val="Grid Table 4 - Accent 4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7">
    <w:name w:val="Grid Table 4 - Accent 5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8">
    <w:name w:val="Grid Table 4 - Accent 6"/>
    <w:basedOn w:val="8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9">
    <w:name w:val="Grid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5 Dark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11">
    <w:name w:val="Grid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12">
    <w:name w:val="Grid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13">
    <w:name w:val="Grid Table 5 Dark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14">
    <w:name w:val="Grid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15">
    <w:name w:val="Grid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6">
    <w:name w:val="Grid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7">
    <w:name w:val="Grid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8">
    <w:name w:val="Grid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9">
    <w:name w:val="Grid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0">
    <w:name w:val="Grid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1">
    <w:name w:val="Grid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2">
    <w:name w:val="Grid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3">
    <w:name w:val="Grid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1 Light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List Table 1 Light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8">
    <w:name w:val="List Table 2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9">
    <w:name w:val="List Table 2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0">
    <w:name w:val="List Table 2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1">
    <w:name w:val="List Table 2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2">
    <w:name w:val="List Table 2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3">
    <w:name w:val="List Table 2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4">
    <w:name w:val="List Table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3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5 Dark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5 Dark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6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6">
    <w:name w:val="List Table 6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7">
    <w:name w:val="List Table 6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8">
    <w:name w:val="List Table 6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9">
    <w:name w:val="List Table 6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0">
    <w:name w:val="List Table 6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1">
    <w:name w:val="List Table 6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2">
    <w:name w:val="List Table 7 Colorful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3">
    <w:name w:val="List Table 7 Colorful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74">
    <w:name w:val="List Table 7 Colorful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5">
    <w:name w:val="List Table 7 Colorful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6">
    <w:name w:val="List Table 7 Colorful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7">
    <w:name w:val="List Table 7 Colorful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8">
    <w:name w:val="List Table 7 Colorful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9">
    <w:name w:val="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 &amp; Lined - Accent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Bordered &amp; Lined - Accent 1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8">
    <w:name w:val="Bordered &amp; Lined - Accent 2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9">
    <w:name w:val="Bordered &amp; Lined - Accent 3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0">
    <w:name w:val="Bordered &amp; Lined - Accent 4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1">
    <w:name w:val="Bordered &amp; Lined - Accent 5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2">
    <w:name w:val="Bordered &amp; Lined - Accent 6"/>
    <w:basedOn w:val="8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3">
    <w:name w:val="Bordered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4">
    <w:name w:val="Bordered - Accent 1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5">
    <w:name w:val="Bordered - Accent 2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6">
    <w:name w:val="Bordered - Accent 3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7">
    <w:name w:val="Bordered - Accent 4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8">
    <w:name w:val="Bordered - Accent 5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9">
    <w:name w:val="Bordered - Accent 6"/>
    <w:basedOn w:val="8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0">
    <w:name w:val="footnote text"/>
    <w:basedOn w:val="817"/>
    <w:link w:val="801"/>
    <w:uiPriority w:val="99"/>
    <w:semiHidden/>
    <w:unhideWhenUsed/>
    <w:pPr>
      <w:spacing w:after="40" w:line="240" w:lineRule="auto"/>
    </w:pPr>
    <w:rPr>
      <w:sz w:val="18"/>
    </w:rPr>
  </w:style>
  <w:style w:type="character" w:styleId="801">
    <w:name w:val="Footnote Text Char"/>
    <w:link w:val="800"/>
    <w:uiPriority w:val="99"/>
    <w:rPr>
      <w:sz w:val="18"/>
    </w:rPr>
  </w:style>
  <w:style w:type="character" w:styleId="802">
    <w:name w:val="footnote reference"/>
    <w:basedOn w:val="818"/>
    <w:uiPriority w:val="99"/>
    <w:unhideWhenUsed/>
    <w:rPr>
      <w:vertAlign w:val="superscript"/>
    </w:rPr>
  </w:style>
  <w:style w:type="paragraph" w:styleId="803">
    <w:name w:val="endnote text"/>
    <w:basedOn w:val="817"/>
    <w:link w:val="804"/>
    <w:uiPriority w:val="99"/>
    <w:semiHidden/>
    <w:unhideWhenUsed/>
    <w:pPr>
      <w:spacing w:after="0" w:line="240" w:lineRule="auto"/>
    </w:pPr>
    <w:rPr>
      <w:sz w:val="20"/>
    </w:rPr>
  </w:style>
  <w:style w:type="character" w:styleId="804">
    <w:name w:val="Endnote Text Char"/>
    <w:link w:val="803"/>
    <w:uiPriority w:val="99"/>
    <w:rPr>
      <w:sz w:val="20"/>
    </w:rPr>
  </w:style>
  <w:style w:type="character" w:styleId="805">
    <w:name w:val="endnote reference"/>
    <w:basedOn w:val="818"/>
    <w:uiPriority w:val="99"/>
    <w:semiHidden/>
    <w:unhideWhenUsed/>
    <w:rPr>
      <w:vertAlign w:val="superscript"/>
    </w:rPr>
  </w:style>
  <w:style w:type="paragraph" w:styleId="806">
    <w:name w:val="toc 1"/>
    <w:basedOn w:val="817"/>
    <w:next w:val="817"/>
    <w:uiPriority w:val="39"/>
    <w:unhideWhenUsed/>
    <w:pPr>
      <w:ind w:left="0" w:right="0" w:firstLine="0"/>
      <w:spacing w:after="57"/>
    </w:pPr>
  </w:style>
  <w:style w:type="paragraph" w:styleId="807">
    <w:name w:val="toc 2"/>
    <w:basedOn w:val="817"/>
    <w:next w:val="817"/>
    <w:uiPriority w:val="39"/>
    <w:unhideWhenUsed/>
    <w:pPr>
      <w:ind w:left="283" w:right="0" w:firstLine="0"/>
      <w:spacing w:after="57"/>
    </w:pPr>
  </w:style>
  <w:style w:type="paragraph" w:styleId="808">
    <w:name w:val="toc 3"/>
    <w:basedOn w:val="817"/>
    <w:next w:val="817"/>
    <w:uiPriority w:val="39"/>
    <w:unhideWhenUsed/>
    <w:pPr>
      <w:ind w:left="567" w:right="0" w:firstLine="0"/>
      <w:spacing w:after="57"/>
    </w:pPr>
  </w:style>
  <w:style w:type="paragraph" w:styleId="809">
    <w:name w:val="toc 4"/>
    <w:basedOn w:val="817"/>
    <w:next w:val="817"/>
    <w:uiPriority w:val="39"/>
    <w:unhideWhenUsed/>
    <w:pPr>
      <w:ind w:left="850" w:right="0" w:firstLine="0"/>
      <w:spacing w:after="57"/>
    </w:pPr>
  </w:style>
  <w:style w:type="paragraph" w:styleId="810">
    <w:name w:val="toc 5"/>
    <w:basedOn w:val="817"/>
    <w:next w:val="817"/>
    <w:uiPriority w:val="39"/>
    <w:unhideWhenUsed/>
    <w:pPr>
      <w:ind w:left="1134" w:right="0" w:firstLine="0"/>
      <w:spacing w:after="57"/>
    </w:pPr>
  </w:style>
  <w:style w:type="paragraph" w:styleId="811">
    <w:name w:val="toc 6"/>
    <w:basedOn w:val="817"/>
    <w:next w:val="817"/>
    <w:uiPriority w:val="39"/>
    <w:unhideWhenUsed/>
    <w:pPr>
      <w:ind w:left="1417" w:right="0" w:firstLine="0"/>
      <w:spacing w:after="57"/>
    </w:pPr>
  </w:style>
  <w:style w:type="paragraph" w:styleId="812">
    <w:name w:val="toc 7"/>
    <w:basedOn w:val="817"/>
    <w:next w:val="817"/>
    <w:uiPriority w:val="39"/>
    <w:unhideWhenUsed/>
    <w:pPr>
      <w:ind w:left="1701" w:right="0" w:firstLine="0"/>
      <w:spacing w:after="57"/>
    </w:pPr>
  </w:style>
  <w:style w:type="paragraph" w:styleId="813">
    <w:name w:val="toc 8"/>
    <w:basedOn w:val="817"/>
    <w:next w:val="817"/>
    <w:uiPriority w:val="39"/>
    <w:unhideWhenUsed/>
    <w:pPr>
      <w:ind w:left="1984" w:right="0" w:firstLine="0"/>
      <w:spacing w:after="57"/>
    </w:pPr>
  </w:style>
  <w:style w:type="paragraph" w:styleId="814">
    <w:name w:val="toc 9"/>
    <w:basedOn w:val="817"/>
    <w:next w:val="817"/>
    <w:uiPriority w:val="39"/>
    <w:unhideWhenUsed/>
    <w:pPr>
      <w:ind w:left="2268" w:right="0" w:firstLine="0"/>
      <w:spacing w:after="57"/>
    </w:pPr>
  </w:style>
  <w:style w:type="paragraph" w:styleId="815">
    <w:name w:val="TOC Heading"/>
    <w:uiPriority w:val="39"/>
    <w:unhideWhenUsed/>
  </w:style>
  <w:style w:type="paragraph" w:styleId="816">
    <w:name w:val="table of figures"/>
    <w:basedOn w:val="817"/>
    <w:next w:val="817"/>
    <w:uiPriority w:val="99"/>
    <w:unhideWhenUsed/>
    <w:pPr>
      <w:spacing w:after="0" w:afterAutospacing="0"/>
    </w:pPr>
  </w:style>
  <w:style w:type="paragraph" w:styleId="817" w:default="1">
    <w:name w:val="Normal"/>
    <w:qFormat/>
  </w:style>
  <w:style w:type="character" w:styleId="818" w:default="1">
    <w:name w:val="Default Paragraph Font"/>
    <w:uiPriority w:val="1"/>
    <w:semiHidden/>
    <w:unhideWhenUsed/>
  </w:style>
  <w:style w:type="table" w:styleId="8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0" w:default="1">
    <w:name w:val="No List"/>
    <w:uiPriority w:val="99"/>
    <w:semiHidden/>
    <w:unhideWhenUsed/>
  </w:style>
  <w:style w:type="paragraph" w:styleId="821" w:customStyle="1">
    <w:name w:val="ConsPlusNormal"/>
    <w:link w:val="832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2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23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24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825">
    <w:name w:val="Hyperlink"/>
    <w:basedOn w:val="818"/>
    <w:uiPriority w:val="99"/>
    <w:unhideWhenUsed/>
    <w:rPr>
      <w:color w:val="0563c1" w:themeColor="hyperlink"/>
      <w:u w:val="single"/>
    </w:rPr>
  </w:style>
  <w:style w:type="paragraph" w:styleId="826">
    <w:name w:val="Header"/>
    <w:basedOn w:val="817"/>
    <w:link w:val="82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7" w:customStyle="1">
    <w:name w:val="Верхний колонтитул Знак"/>
    <w:basedOn w:val="818"/>
    <w:link w:val="826"/>
    <w:uiPriority w:val="99"/>
  </w:style>
  <w:style w:type="paragraph" w:styleId="828">
    <w:name w:val="Footer"/>
    <w:basedOn w:val="817"/>
    <w:link w:val="82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9" w:customStyle="1">
    <w:name w:val="Нижний колонтитул Знак"/>
    <w:basedOn w:val="818"/>
    <w:link w:val="828"/>
    <w:uiPriority w:val="99"/>
  </w:style>
  <w:style w:type="paragraph" w:styleId="830">
    <w:name w:val="Balloon Text"/>
    <w:basedOn w:val="817"/>
    <w:link w:val="83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1" w:customStyle="1">
    <w:name w:val="Текст выноски Знак"/>
    <w:basedOn w:val="818"/>
    <w:link w:val="830"/>
    <w:uiPriority w:val="99"/>
    <w:semiHidden/>
    <w:rPr>
      <w:rFonts w:ascii="Segoe UI" w:hAnsi="Segoe UI" w:cs="Segoe UI"/>
      <w:sz w:val="18"/>
      <w:szCs w:val="18"/>
    </w:rPr>
  </w:style>
  <w:style w:type="character" w:styleId="832" w:customStyle="1">
    <w:name w:val="ConsPlusNormal Знак"/>
    <w:link w:val="821"/>
    <w:rPr>
      <w:rFonts w:ascii="Calibri" w:hAnsi="Calibri" w:eastAsia="Times New Roman" w:cs="Calibri"/>
      <w:szCs w:val="20"/>
      <w:lang w:eastAsia="ru-RU"/>
    </w:rPr>
  </w:style>
  <w:style w:type="character" w:styleId="833" w:customStyle="1">
    <w:name w:val="Основной текст + Интервал 3 pt"/>
    <w:uiPriority w:val="99"/>
    <w:rPr>
      <w:rFonts w:ascii="Times New Roman" w:hAnsi="Times New Roman"/>
      <w:spacing w:val="70"/>
      <w:sz w:val="25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communstroy@tazovsky.yanao.ru" TargetMode="External"/><Relationship Id="rId11" Type="http://schemas.openxmlformats.org/officeDocument/2006/relationships/hyperlink" Target="https://tasu.yanao.ru." TargetMode="External"/><Relationship Id="rId12" Type="http://schemas.openxmlformats.org/officeDocument/2006/relationships/hyperlink" Target="mailto:ogts1@mail.ru" TargetMode="External"/><Relationship Id="rId13" Type="http://schemas.openxmlformats.org/officeDocument/2006/relationships/hyperlink" Target="https://tasu.ru/ekonomika-i-finansy/kommunikatsii-stroitelstvo-i-zhilishchnaya-politika/upravlenie-kommunikatsiy-stroitelstva-i-zhilishchnoy-politiki/.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C1F4F-5B96-4E59-B26D-83A3100F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SPecialiST RePack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revision>108</cp:revision>
  <dcterms:created xsi:type="dcterms:W3CDTF">2021-04-29T09:11:00Z</dcterms:created>
  <dcterms:modified xsi:type="dcterms:W3CDTF">2023-03-14T06:36:06Z</dcterms:modified>
</cp:coreProperties>
</file>